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3B" w:rsidRDefault="00D41A86">
      <w:bookmarkStart w:id="0" w:name="_GoBack"/>
      <w:r w:rsidRPr="00D41A86">
        <w:t>DECLARACIONES FISCAL Y DE NO CONFLICTO DE INTERESES</w:t>
      </w:r>
      <w:r>
        <w:t xml:space="preserve"> </w:t>
      </w:r>
      <w:bookmarkEnd w:id="0"/>
      <w:r w:rsidR="000B42EC" w:rsidRPr="000B42EC">
        <w:t>ES FACULTAD DE LA SEFIRECU DE ACUERDO AL ARTÍCULO 108 DEL TÍTULO QUINTO DE LA LEY DE RESPONSABILIDADES DE LOS SERVIDORES PÚBLICOS Y ARTÍCULO 18 FRACCIÓN II DEL REGLAMENTO INTERIOR DE LA SEFIRECU.</w:t>
      </w:r>
    </w:p>
    <w:sectPr w:rsidR="00983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EC"/>
    <w:rsid w:val="00090B96"/>
    <w:rsid w:val="000B42EC"/>
    <w:rsid w:val="00983A3B"/>
    <w:rsid w:val="00D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F271-6506-4816-8293-DC47C3AD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2</cp:revision>
  <dcterms:created xsi:type="dcterms:W3CDTF">2017-12-07T16:35:00Z</dcterms:created>
  <dcterms:modified xsi:type="dcterms:W3CDTF">2017-12-07T16:35:00Z</dcterms:modified>
</cp:coreProperties>
</file>